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三河市文物管理所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对境内文物考古发掘、保护和管理。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三河市文物管理所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全额事业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文物管理所的</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52.17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52.16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52.17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40.28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39.23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文物保护支出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52.17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5.14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1.53</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lang w:eastAsia="zh-CN"/>
        </w:rPr>
        <w:t>公用经费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3.61</w:t>
      </w:r>
      <w:r>
        <w:rPr>
          <w:rFonts w:ascii="Times New Roman" w:hAnsi="Times New Roman" w:eastAsia="仿宋_GB2312" w:cs="Times New Roman"/>
          <w:sz w:val="32"/>
          <w:szCs w:val="32"/>
          <w:highlight w:val="none"/>
        </w:rPr>
        <w:t>万元，主要为为</w:t>
      </w:r>
      <w:r>
        <w:rPr>
          <w:rFonts w:hint="eastAsia" w:ascii="Times New Roman" w:hAnsi="Times New Roman" w:eastAsia="仿宋_GB2312" w:cs="Times New Roman"/>
          <w:sz w:val="32"/>
          <w:szCs w:val="32"/>
          <w:highlight w:val="none"/>
          <w:lang w:eastAsia="zh-CN"/>
        </w:rPr>
        <w:t>运转类公用</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1.05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三河市文物管理所</w:t>
      </w:r>
      <w:r>
        <w:rPr>
          <w:rFonts w:ascii="Times New Roman" w:hAnsi="Times New Roman" w:eastAsia="仿宋_GB2312" w:cs="Times New Roman"/>
          <w:sz w:val="32"/>
          <w:szCs w:val="32"/>
        </w:rPr>
        <w:t>办公区的日常维修、水</w:t>
      </w:r>
      <w:r>
        <w:rPr>
          <w:rFonts w:hint="eastAsia" w:ascii="Times New Roman" w:hAnsi="Times New Roman" w:eastAsia="仿宋_GB2312" w:cs="Times New Roman"/>
          <w:sz w:val="32"/>
          <w:szCs w:val="32"/>
          <w:lang w:eastAsia="zh-CN"/>
        </w:rPr>
        <w:t>费、办公用品购置</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通过项目的开展使</w:t>
      </w:r>
      <w:r>
        <w:rPr>
          <w:rFonts w:hint="eastAsia" w:ascii="仿宋_GB2312" w:eastAsia="仿宋_GB2312" w:cs="Times New Roman"/>
          <w:sz w:val="32"/>
          <w:szCs w:val="32"/>
          <w:lang w:eastAsia="zh-CN"/>
        </w:rPr>
        <w:t>境内</w:t>
      </w:r>
      <w:r>
        <w:rPr>
          <w:rFonts w:hint="eastAsia" w:ascii="仿宋_GB2312" w:eastAsia="仿宋_GB2312" w:cs="Times New Roman"/>
          <w:sz w:val="32"/>
          <w:szCs w:val="32"/>
        </w:rPr>
        <w:t>文物得到有效的监管和保护，增强民众</w:t>
      </w:r>
      <w:r>
        <w:rPr>
          <w:rFonts w:hint="eastAsia" w:ascii="仿宋_GB2312" w:eastAsia="仿宋_GB2312" w:cs="Times New Roman"/>
          <w:sz w:val="32"/>
          <w:szCs w:val="32"/>
          <w:lang w:eastAsia="zh-CN"/>
        </w:rPr>
        <w:t>对</w:t>
      </w:r>
      <w:r>
        <w:rPr>
          <w:rFonts w:hint="eastAsia" w:ascii="仿宋_GB2312" w:eastAsia="仿宋_GB2312" w:cs="Times New Roman"/>
          <w:sz w:val="32"/>
          <w:szCs w:val="32"/>
        </w:rPr>
        <w:t>文物</w:t>
      </w:r>
      <w:r>
        <w:rPr>
          <w:rFonts w:hint="eastAsia" w:ascii="仿宋_GB2312" w:eastAsia="仿宋_GB2312" w:cs="Times New Roman"/>
          <w:sz w:val="32"/>
          <w:szCs w:val="32"/>
          <w:lang w:eastAsia="zh-CN"/>
        </w:rPr>
        <w:t>的</w:t>
      </w:r>
      <w:r>
        <w:rPr>
          <w:rFonts w:hint="eastAsia" w:ascii="仿宋_GB2312" w:eastAsia="仿宋_GB2312" w:cs="Times New Roman"/>
          <w:sz w:val="32"/>
          <w:szCs w:val="32"/>
        </w:rPr>
        <w:t>保护意识及法律意识。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1、文保员工作经费：通过项目的开展使野外不可移动文物得到有效的监管和保护。</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2、文物保护经费：主要用于征集散落在民间的、市民主动上交的和在基本建设工程中出土的具有一定历史文化收藏价值的文物，使文物得到有效的保护。在每年6月份举办中国文化和自然遗产日宣传活动，增强民众的文物保护意识及法律意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eastAsia="zh-CN"/>
        </w:rPr>
        <w:t>我单位是财政全额事业单位，所有项目按工作要求已列入年度财政预算，由财政保障经费的支出。</w:t>
      </w:r>
      <w:r>
        <w:rPr>
          <w:rFonts w:hint="eastAsia" w:ascii="仿宋_GB2312" w:eastAsia="仿宋_GB2312" w:cs="Times New Roman"/>
          <w:sz w:val="32"/>
          <w:szCs w:val="32"/>
          <w:lang w:val="en-US" w:eastAsia="zh-CN"/>
        </w:rPr>
        <w:t>不可移动文物：</w:t>
      </w:r>
      <w:r>
        <w:rPr>
          <w:rFonts w:hint="eastAsia" w:ascii="仿宋_GB2312" w:eastAsia="仿宋_GB2312" w:cs="Times New Roman"/>
          <w:sz w:val="32"/>
          <w:szCs w:val="32"/>
          <w:lang w:eastAsia="zh-CN"/>
        </w:rPr>
        <w:t>我单位与</w:t>
      </w:r>
      <w:r>
        <w:rPr>
          <w:rFonts w:hint="eastAsia" w:ascii="仿宋_GB2312" w:eastAsia="仿宋_GB2312" w:cs="Times New Roman"/>
          <w:sz w:val="32"/>
          <w:szCs w:val="32"/>
          <w:lang w:val="en-US" w:eastAsia="zh-CN"/>
        </w:rPr>
        <w:t>21名文保员签订聘用合同，明确工作职责，并制定巡查计划对文物安全进行督导及隐患排查等。对散落民间文物进行及时走访沟通，在捐赠者自愿的前提下收为馆藏文物入账并给予捐赠者奖励。</w:t>
      </w: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2"/>
        <w:gridCol w:w="1530"/>
        <w:gridCol w:w="2085"/>
        <w:gridCol w:w="825"/>
        <w:gridCol w:w="3054"/>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5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05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2" w:type="dxa"/>
            <w:vMerge w:val="continue"/>
            <w:tcBorders>
              <w:tl2br w:val="nil"/>
              <w:tr2bl w:val="nil"/>
            </w:tcBorders>
            <w:vAlign w:val="center"/>
          </w:tcPr>
          <w:p/>
        </w:tc>
        <w:tc>
          <w:tcPr>
            <w:tcW w:w="1530" w:type="dxa"/>
            <w:vMerge w:val="continue"/>
            <w:tcBorders>
              <w:tl2br w:val="nil"/>
              <w:tr2bl w:val="nil"/>
            </w:tcBorders>
            <w:vAlign w:val="center"/>
          </w:tcPr>
          <w:p/>
        </w:tc>
        <w:tc>
          <w:tcPr>
            <w:tcW w:w="2085" w:type="dxa"/>
            <w:vMerge w:val="continue"/>
            <w:tcBorders>
              <w:tl2br w:val="nil"/>
              <w:tr2bl w:val="nil"/>
            </w:tcBorders>
            <w:vAlign w:val="center"/>
          </w:tcPr>
          <w:p/>
        </w:tc>
        <w:tc>
          <w:tcPr>
            <w:tcW w:w="825" w:type="dxa"/>
            <w:vMerge w:val="continue"/>
            <w:tcBorders>
              <w:tl2br w:val="nil"/>
              <w:tr2bl w:val="nil"/>
            </w:tcBorders>
            <w:vAlign w:val="center"/>
          </w:tcPr>
          <w:p/>
        </w:tc>
        <w:tc>
          <w:tcPr>
            <w:tcW w:w="3054"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82" w:type="dxa"/>
            <w:vMerge w:val="restart"/>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单位</w:t>
            </w:r>
            <w:r>
              <w:rPr>
                <w:rFonts w:ascii="方正书宋_GBK" w:eastAsia="方正书宋_GBK"/>
              </w:rPr>
              <w:t>产出</w:t>
            </w:r>
          </w:p>
          <w:p>
            <w:pPr>
              <w:widowControl/>
              <w:adjustRightInd w:val="0"/>
              <w:snapToGrid w:val="0"/>
              <w:jc w:val="center"/>
              <w:rPr>
                <w:rFonts w:hint="eastAsia" w:ascii="方正书宋_GBK" w:eastAsia="方正书宋_GBK"/>
                <w:lang w:eastAsia="zh-CN"/>
              </w:rPr>
            </w:pPr>
          </w:p>
          <w:p>
            <w:pPr>
              <w:widowControl/>
              <w:adjustRightInd w:val="0"/>
              <w:snapToGrid w:val="0"/>
              <w:jc w:val="center"/>
              <w:rPr>
                <w:rFonts w:hint="eastAsia" w:ascii="方正书宋_GBK" w:eastAsia="方正书宋_GBK"/>
                <w:lang w:eastAsia="zh-CN"/>
              </w:rPr>
            </w:pPr>
          </w:p>
          <w:p/>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文保员人数</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发放劳务费人数情况</w:t>
            </w: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21</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人</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工资单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82"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文物保护宣传条幅数量</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悬挂宣传口号条幅</w:t>
            </w:r>
          </w:p>
        </w:tc>
        <w:tc>
          <w:tcPr>
            <w:tcW w:w="54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幅</w:t>
            </w:r>
          </w:p>
        </w:tc>
        <w:tc>
          <w:tcPr>
            <w:tcW w:w="1277"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82"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征集文物及近现代当代作品数量</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征集文物及近现代当代作品数量</w:t>
            </w: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件</w:t>
            </w:r>
          </w:p>
        </w:tc>
        <w:tc>
          <w:tcPr>
            <w:tcW w:w="1277"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实际征集文物件数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劳务费发放精准度</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rPr>
              <w:t>反应劳务费发放人员范围精准性和发放金额的准确性</w:t>
            </w: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工资单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相关工作完成率</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按固定时间开展</w:t>
            </w: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征集文物质量合格率</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文物质量合格情况</w:t>
            </w: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实际征集文物件数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劳务费发放及时性</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反应劳务费发放的实效情况</w:t>
            </w:r>
          </w:p>
        </w:tc>
        <w:tc>
          <w:tcPr>
            <w:tcW w:w="543" w:type="dxa"/>
            <w:tcBorders>
              <w:tl2br w:val="nil"/>
              <w:tr2bl w:val="nil"/>
            </w:tcBorders>
            <w:vAlign w:val="center"/>
          </w:tcPr>
          <w:p>
            <w:pPr>
              <w:widowControl/>
              <w:adjustRightInd w:val="0"/>
              <w:snapToGrid w:val="0"/>
              <w:rPr>
                <w:rFonts w:hint="eastAsia" w:ascii="方正书宋_GBK" w:eastAsia="方正书宋_GBK"/>
              </w:rPr>
            </w:pPr>
          </w:p>
        </w:tc>
        <w:tc>
          <w:tcPr>
            <w:tcW w:w="488" w:type="dxa"/>
            <w:tcBorders>
              <w:tl2br w:val="nil"/>
              <w:tr2bl w:val="nil"/>
            </w:tcBorders>
            <w:vAlign w:val="center"/>
          </w:tcPr>
          <w:p>
            <w:pPr>
              <w:widowControl/>
              <w:adjustRightInd w:val="0"/>
              <w:snapToGrid w:val="0"/>
              <w:rPr>
                <w:rFonts w:hint="eastAsia" w:ascii="方正书宋_GBK" w:eastAsia="方正书宋_GBK"/>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工资单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奖励发放及时率</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奖励发放时间</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7</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天</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捐赠奖励协议书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宣传工作开展及时性</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宣传工作开展时间</w:t>
            </w:r>
          </w:p>
        </w:tc>
        <w:tc>
          <w:tcPr>
            <w:tcW w:w="543" w:type="dxa"/>
            <w:tcBorders>
              <w:tl2br w:val="nil"/>
              <w:tr2bl w:val="nil"/>
            </w:tcBorders>
            <w:vAlign w:val="center"/>
          </w:tcPr>
          <w:p>
            <w:pPr>
              <w:widowControl/>
              <w:adjustRightInd w:val="0"/>
              <w:snapToGrid w:val="0"/>
              <w:rPr>
                <w:rFonts w:hint="eastAsia" w:ascii="方正书宋_GBK" w:eastAsia="方正书宋_GBK"/>
              </w:rPr>
            </w:pPr>
          </w:p>
        </w:tc>
        <w:tc>
          <w:tcPr>
            <w:tcW w:w="488" w:type="dxa"/>
            <w:tcBorders>
              <w:tl2br w:val="nil"/>
              <w:tr2bl w:val="nil"/>
            </w:tcBorders>
            <w:vAlign w:val="center"/>
          </w:tcPr>
          <w:p>
            <w:pPr>
              <w:widowControl/>
              <w:adjustRightInd w:val="0"/>
              <w:snapToGrid w:val="0"/>
              <w:rPr>
                <w:rFonts w:hint="eastAsia" w:ascii="方正书宋_GBK" w:eastAsia="方正书宋_GBK"/>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劳务费发放标准</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反应劳务费发放标准</w:t>
            </w:r>
          </w:p>
        </w:tc>
        <w:tc>
          <w:tcPr>
            <w:tcW w:w="54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600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eastAsia="zh-CN"/>
              </w:rPr>
              <w:t>元</w:t>
            </w: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工资单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8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宣传资料成本情况</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宣传资料成本情况</w:t>
            </w:r>
          </w:p>
        </w:tc>
        <w:tc>
          <w:tcPr>
            <w:tcW w:w="54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材料制作合同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8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单件文物奖励费用</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单件文物奖励情况</w:t>
            </w: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0.2</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捐赠奖励协议书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8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文保工作正常开展</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通过按标准发放劳务费保障文物安全</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p>
        </w:tc>
        <w:tc>
          <w:tcPr>
            <w:tcW w:w="488" w:type="dxa"/>
            <w:tcBorders>
              <w:tl2br w:val="nil"/>
              <w:tr2bl w:val="nil"/>
            </w:tcBorders>
            <w:vAlign w:val="center"/>
          </w:tcPr>
          <w:p>
            <w:pPr>
              <w:widowControl/>
              <w:adjustRightInd w:val="0"/>
              <w:snapToGrid w:val="0"/>
              <w:rPr>
                <w:rFonts w:hint="eastAsia" w:ascii="方正书宋_GBK" w:eastAsia="方正书宋_GBK"/>
                <w:lang w:eastAsia="zh-CN"/>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保障工作正常开展</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无文物安全案件</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pPr>
              <w:adjustRightInd w:val="0"/>
              <w:snapToGrid w:val="0"/>
              <w:jc w:val="center"/>
              <w:rPr>
                <w:rFonts w:hint="eastAsia" w:ascii="方正书宋_GBK" w:eastAsia="方正书宋_GBK"/>
                <w:lang w:eastAsia="zh-CN"/>
              </w:rPr>
            </w:p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8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提高公众对文物保护的认知度</w:t>
            </w:r>
          </w:p>
        </w:tc>
        <w:tc>
          <w:tcPr>
            <w:tcW w:w="825"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5</w:t>
            </w:r>
          </w:p>
        </w:tc>
        <w:tc>
          <w:tcPr>
            <w:tcW w:w="305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通过宣传增强公众对文物保护意识</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p>
        </w:tc>
        <w:tc>
          <w:tcPr>
            <w:tcW w:w="488" w:type="dxa"/>
            <w:tcBorders>
              <w:tl2br w:val="nil"/>
              <w:tr2bl w:val="nil"/>
            </w:tcBorders>
            <w:vAlign w:val="center"/>
          </w:tcPr>
          <w:p>
            <w:pPr>
              <w:widowControl/>
              <w:adjustRightInd w:val="0"/>
              <w:snapToGrid w:val="0"/>
              <w:rPr>
                <w:rFonts w:hint="eastAsia" w:ascii="方正书宋_GBK" w:eastAsia="方正书宋_GBK"/>
                <w:lang w:eastAsia="zh-CN"/>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提高公众认知</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按上级文件要求开展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2" w:type="dxa"/>
            <w:vMerge w:val="continue"/>
            <w:tcBorders>
              <w:tl2br w:val="nil"/>
              <w:tr2bl w:val="nil"/>
            </w:tcBorders>
            <w:vAlign w:val="center"/>
          </w:tcPr>
          <w:p>
            <w:pPr>
              <w:adjustRightInd w:val="0"/>
              <w:snapToGrid w:val="0"/>
              <w:jc w:val="center"/>
              <w:rPr>
                <w:rFonts w:hint="eastAsia" w:ascii="方正书宋_GBK" w:eastAsia="方正书宋_GBK"/>
                <w:lang w:eastAsia="zh-CN"/>
              </w:rPr>
            </w:p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85"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文物得到有效保护</w:t>
            </w:r>
          </w:p>
        </w:tc>
        <w:tc>
          <w:tcPr>
            <w:tcW w:w="8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5</w:t>
            </w:r>
          </w:p>
        </w:tc>
        <w:tc>
          <w:tcPr>
            <w:tcW w:w="305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通过征集使文物得到有效保护</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p>
        </w:tc>
        <w:tc>
          <w:tcPr>
            <w:tcW w:w="488" w:type="dxa"/>
            <w:tcBorders>
              <w:tl2br w:val="nil"/>
              <w:tr2bl w:val="nil"/>
            </w:tcBorders>
            <w:vAlign w:val="center"/>
          </w:tcPr>
          <w:p>
            <w:pPr>
              <w:widowControl/>
              <w:adjustRightInd w:val="0"/>
              <w:snapToGrid w:val="0"/>
              <w:rPr>
                <w:rFonts w:hint="eastAsia" w:ascii="方正书宋_GBK" w:eastAsia="方正书宋_GBK"/>
                <w:lang w:eastAsia="zh-CN"/>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保护文物</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85"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文保员满意度</w:t>
            </w:r>
          </w:p>
        </w:tc>
        <w:tc>
          <w:tcPr>
            <w:tcW w:w="825"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3054"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反应文保员对劳务费发放的情况</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2085"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参与公众满意度</w:t>
            </w:r>
          </w:p>
        </w:tc>
        <w:tc>
          <w:tcPr>
            <w:tcW w:w="825" w:type="dxa"/>
            <w:tcBorders>
              <w:tl2br w:val="nil"/>
              <w:tr2bl w:val="nil"/>
            </w:tcBorders>
            <w:noWrap/>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5</w:t>
            </w:r>
          </w:p>
        </w:tc>
        <w:tc>
          <w:tcPr>
            <w:tcW w:w="3054"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参与公众对专题展览效果的满意度情况</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82" w:type="dxa"/>
            <w:vMerge w:val="continue"/>
            <w:tcBorders>
              <w:tl2br w:val="nil"/>
              <w:tr2bl w:val="nil"/>
            </w:tcBorders>
            <w:vAlign w:val="center"/>
          </w:tcP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2085"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主动上交文物者满意度</w:t>
            </w:r>
          </w:p>
        </w:tc>
        <w:tc>
          <w:tcPr>
            <w:tcW w:w="825" w:type="dxa"/>
            <w:tcBorders>
              <w:tl2br w:val="nil"/>
              <w:tr2bl w:val="nil"/>
            </w:tcBorders>
            <w:noWrap/>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5</w:t>
            </w:r>
          </w:p>
        </w:tc>
        <w:tc>
          <w:tcPr>
            <w:tcW w:w="3054"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主动上交文物者满意情况</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val="en-US" w:eastAsia="zh-CN"/>
              </w:rPr>
              <w:t>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lang w:eastAsia="zh-CN"/>
        </w:rPr>
        <w:t>文保员工作经费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800"/>
        <w:gridCol w:w="2430"/>
        <w:gridCol w:w="38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78"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通过项目的开展使野外不可移动文物得到有效的监管和保护。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243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文保员人数</w:t>
            </w:r>
          </w:p>
        </w:tc>
        <w:tc>
          <w:tcPr>
            <w:tcW w:w="385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发放劳务费人数情况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=21人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24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劳务费发放精准度</w:t>
            </w:r>
          </w:p>
        </w:tc>
        <w:tc>
          <w:tcPr>
            <w:tcW w:w="385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反应劳务费发放人员范围精准性和发放金额的准确性</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24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劳务费发放及时性</w:t>
            </w:r>
          </w:p>
        </w:tc>
        <w:tc>
          <w:tcPr>
            <w:tcW w:w="385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反应劳务费发放的实效情况</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tc>
        <w:tc>
          <w:tcPr>
            <w:tcW w:w="1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24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rPr>
              <w:t>劳务费发放标准</w:t>
            </w:r>
          </w:p>
        </w:tc>
        <w:tc>
          <w:tcPr>
            <w:tcW w:w="3850" w:type="dxa"/>
            <w:shd w:val="clear" w:color="auto" w:fill="auto"/>
            <w:vAlign w:val="center"/>
          </w:tcPr>
          <w:p>
            <w:pPr>
              <w:tabs>
                <w:tab w:val="left" w:pos="824"/>
              </w:tabs>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反应劳务费发放标准</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600元/人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0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43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文保工作正常开展</w:t>
            </w:r>
          </w:p>
        </w:tc>
        <w:tc>
          <w:tcPr>
            <w:tcW w:w="385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通过按标准发放劳务费保障文物安全</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保障工作正常开展</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按实际布置工作要求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43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文保员满意度</w:t>
            </w:r>
          </w:p>
        </w:tc>
        <w:tc>
          <w:tcPr>
            <w:tcW w:w="385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反应文保员对劳务费发放的情况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文物保护经费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4"/>
        <w:gridCol w:w="1770"/>
        <w:gridCol w:w="2460"/>
        <w:gridCol w:w="38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48"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rPr>
              <w:t>主要用于征集散落在民间的、市民主动上交的和在基本建设工程中出土的具有一定历史文化收藏价值的文物，使文物得到有效的保护。在每年6月份举办中国文化和自然遗产日宣传活动，增强民众的文物保护意识及法律意识</w:t>
            </w:r>
            <w:r>
              <w:rPr>
                <w:rFonts w:hint="eastAsia" w:ascii="Times New Roman" w:hAnsi="Times New Roman" w:eastAsia="仿宋_GB2312" w:cs="Times New Roman"/>
                <w:b/>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征集文物及近现代当代作品数量</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征集文物及近现代当代作品数量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实际征集文物件数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left"/>
            </w:pPr>
          </w:p>
        </w:tc>
        <w:tc>
          <w:tcPr>
            <w:tcW w:w="1770" w:type="dxa"/>
            <w:shd w:val="clear" w:color="auto" w:fill="auto"/>
            <w:vAlign w:val="top"/>
          </w:tcPr>
          <w:p>
            <w:pPr>
              <w:spacing w:line="300" w:lineRule="exact"/>
              <w:jc w:val="left"/>
            </w:pPr>
            <w:r>
              <w:rPr>
                <w:rFonts w:hint="eastAsia" w:ascii="宋体" w:hAnsi="宋体" w:eastAsia="宋体" w:cs="宋体"/>
                <w:i w:val="0"/>
                <w:color w:val="000000"/>
                <w:kern w:val="0"/>
                <w:sz w:val="18"/>
                <w:szCs w:val="18"/>
                <w:u w:val="none"/>
                <w:lang w:val="en-US" w:eastAsia="zh-CN" w:bidi="ar"/>
              </w:rPr>
              <w:t>数量指标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文物保护宣传条幅数量</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悬挂宣传口号条幅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10幅</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2014" w:type="dxa"/>
            <w:vMerge w:val="continue"/>
            <w:shd w:val="clear" w:color="auto" w:fill="auto"/>
            <w:vAlign w:val="center"/>
          </w:tcPr>
          <w:p/>
        </w:tc>
        <w:tc>
          <w:tcPr>
            <w:tcW w:w="17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征集文物质量合格率</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文物质量合格情况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实际征集文物件数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left"/>
            </w:pPr>
          </w:p>
        </w:tc>
        <w:tc>
          <w:tcPr>
            <w:tcW w:w="1770" w:type="dxa"/>
            <w:shd w:val="clear" w:color="auto" w:fill="auto"/>
            <w:vAlign w:val="center"/>
          </w:tcPr>
          <w:p>
            <w:pPr>
              <w:spacing w:line="300" w:lineRule="exact"/>
              <w:jc w:val="left"/>
            </w:pPr>
            <w:r>
              <w:rPr>
                <w:rFonts w:hint="eastAsia" w:ascii="宋体" w:hAnsi="宋体" w:eastAsia="宋体" w:cs="宋体"/>
                <w:i w:val="0"/>
                <w:color w:val="000000"/>
                <w:kern w:val="0"/>
                <w:sz w:val="18"/>
                <w:szCs w:val="18"/>
                <w:u w:val="none"/>
                <w:lang w:val="en-US" w:eastAsia="zh-CN" w:bidi="ar"/>
              </w:rPr>
              <w:t>质量指标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相关工作完成率</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按固定时间开展</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tc>
        <w:tc>
          <w:tcPr>
            <w:tcW w:w="17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奖励发放及时率</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奖励发放时间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7天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left"/>
            </w:pPr>
          </w:p>
        </w:tc>
        <w:tc>
          <w:tcPr>
            <w:tcW w:w="1770" w:type="dxa"/>
            <w:shd w:val="clear" w:color="auto" w:fill="auto"/>
            <w:vAlign w:val="center"/>
          </w:tcPr>
          <w:p>
            <w:pPr>
              <w:spacing w:line="300" w:lineRule="exact"/>
              <w:jc w:val="left"/>
            </w:pPr>
            <w:r>
              <w:rPr>
                <w:rFonts w:hint="eastAsia" w:ascii="宋体" w:hAnsi="宋体" w:eastAsia="宋体" w:cs="宋体"/>
                <w:i w:val="0"/>
                <w:color w:val="000000"/>
                <w:kern w:val="0"/>
                <w:sz w:val="18"/>
                <w:szCs w:val="18"/>
                <w:u w:val="none"/>
                <w:lang w:val="en-US" w:eastAsia="zh-CN" w:bidi="ar"/>
              </w:rPr>
              <w:t>时效指标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宣传工作开展及时性</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宣传工作开展时间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tc>
        <w:tc>
          <w:tcPr>
            <w:tcW w:w="17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单件文物奖励费用</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单件文物奖励情况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0.2万元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left"/>
            </w:pPr>
          </w:p>
        </w:tc>
        <w:tc>
          <w:tcPr>
            <w:tcW w:w="1770" w:type="dxa"/>
            <w:shd w:val="clear" w:color="auto" w:fill="auto"/>
            <w:vAlign w:val="center"/>
          </w:tcPr>
          <w:p>
            <w:pPr>
              <w:spacing w:line="300" w:lineRule="exact"/>
              <w:jc w:val="left"/>
            </w:pPr>
            <w:r>
              <w:rPr>
                <w:rFonts w:hint="eastAsia" w:ascii="宋体" w:hAnsi="宋体" w:eastAsia="宋体" w:cs="宋体"/>
                <w:i w:val="0"/>
                <w:color w:val="000000"/>
                <w:kern w:val="0"/>
                <w:sz w:val="18"/>
                <w:szCs w:val="18"/>
                <w:u w:val="none"/>
                <w:lang w:val="en-US" w:eastAsia="zh-CN" w:bidi="ar"/>
              </w:rPr>
              <w:t>成本指标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宣传资料成本情况</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宣传资料成本情况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文物得到有效保护</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通过征集使文物得到有效保护</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保护文物</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continue"/>
            <w:shd w:val="clear" w:color="auto" w:fill="auto"/>
            <w:vAlign w:val="center"/>
          </w:tcPr>
          <w:p/>
        </w:tc>
        <w:tc>
          <w:tcPr>
            <w:tcW w:w="177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提高公众对文物保护的认知度</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通过宣传增强公众对文物保护意识</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提高公众认知</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按上级文件要求开展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0" w:type="dxa"/>
            <w:vMerge w:val="restart"/>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主动上交文物者满意度</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主动上交文物者满意情况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vMerge w:val="continue"/>
            <w:shd w:val="clear" w:color="auto" w:fill="auto"/>
            <w:vAlign w:val="center"/>
          </w:tcPr>
          <w:p>
            <w:pPr>
              <w:spacing w:line="300" w:lineRule="exact"/>
              <w:jc w:val="left"/>
              <w:rPr>
                <w:rFonts w:hint="eastAsia" w:ascii="Times New Roman" w:hAnsi="Times New Roman" w:eastAsia="仿宋_GB2312" w:cs="Times New Roman"/>
              </w:rPr>
            </w:pPr>
          </w:p>
        </w:tc>
        <w:tc>
          <w:tcPr>
            <w:tcW w:w="246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参与公众满意度</w:t>
            </w:r>
          </w:p>
        </w:tc>
        <w:tc>
          <w:tcPr>
            <w:tcW w:w="3820"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参与公众对专题展览效果的满意度情况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文物管理所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65.34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文物管理所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C97EE"/>
    <w:multiLevelType w:val="singleLevel"/>
    <w:tmpl w:val="C3BC97E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6182F75"/>
    <w:rsid w:val="10820777"/>
    <w:rsid w:val="10AC518C"/>
    <w:rsid w:val="17911818"/>
    <w:rsid w:val="2B266611"/>
    <w:rsid w:val="33FF6B85"/>
    <w:rsid w:val="375B687E"/>
    <w:rsid w:val="37B56CEC"/>
    <w:rsid w:val="3EA72461"/>
    <w:rsid w:val="4CCC3D4E"/>
    <w:rsid w:val="56983779"/>
    <w:rsid w:val="5E4D2D1E"/>
    <w:rsid w:val="5E6C3BC5"/>
    <w:rsid w:val="671C2278"/>
    <w:rsid w:val="69331E25"/>
    <w:rsid w:val="6ACF7B3D"/>
    <w:rsid w:val="72AC3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11</TotalTime>
  <ScaleCrop>false</ScaleCrop>
  <LinksUpToDate>false</LinksUpToDate>
  <CharactersWithSpaces>3370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2018-01-30T06:12:00Z</cp:lastPrinted>
  <dcterms:modified xsi:type="dcterms:W3CDTF">2022-03-01T09:27:25Z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4E44EDF0EF9F46F78136DEDCDFA20100</vt:lpwstr>
  </property>
</Properties>
</file>